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3B7A" w14:textId="77777777" w:rsidR="00690073" w:rsidRDefault="00690073" w:rsidP="00690073">
      <w:pPr>
        <w:spacing w:after="0"/>
      </w:pPr>
    </w:p>
    <w:p w14:paraId="796DBC65" w14:textId="14E6F4EF" w:rsidR="00FF739C" w:rsidRDefault="51E2951E" w:rsidP="00690073">
      <w:pPr>
        <w:spacing w:after="0"/>
        <w:jc w:val="center"/>
        <w:rPr>
          <w:b/>
          <w:bCs/>
          <w:sz w:val="28"/>
          <w:szCs w:val="28"/>
        </w:rPr>
      </w:pPr>
      <w:r w:rsidRPr="33A7DF1B">
        <w:rPr>
          <w:b/>
          <w:bCs/>
          <w:sz w:val="28"/>
          <w:szCs w:val="28"/>
        </w:rPr>
        <w:t>Patient Payment Responsibility (Vision vs Medical)</w:t>
      </w:r>
    </w:p>
    <w:p w14:paraId="6D0431BE" w14:textId="5472EBF1" w:rsidR="33A7DF1B" w:rsidRDefault="33A7DF1B" w:rsidP="33A7DF1B">
      <w:pPr>
        <w:spacing w:after="0"/>
        <w:jc w:val="center"/>
        <w:rPr>
          <w:b/>
          <w:bCs/>
          <w:sz w:val="28"/>
          <w:szCs w:val="28"/>
        </w:rPr>
      </w:pPr>
    </w:p>
    <w:tbl>
      <w:tblPr>
        <w:tblStyle w:val="PlainTable4"/>
        <w:tblW w:w="0" w:type="auto"/>
        <w:tblLayout w:type="fixed"/>
        <w:tblLook w:val="0620" w:firstRow="1" w:lastRow="0" w:firstColumn="0" w:lastColumn="0" w:noHBand="1" w:noVBand="1"/>
      </w:tblPr>
      <w:tblGrid>
        <w:gridCol w:w="5295"/>
      </w:tblGrid>
      <w:tr w:rsidR="33A7DF1B" w14:paraId="61466644" w14:textId="77777777" w:rsidTr="33A7DF1B">
        <w:trPr>
          <w:cnfStyle w:val="100000000000" w:firstRow="1" w:lastRow="0" w:firstColumn="0" w:lastColumn="0" w:oddVBand="0" w:evenVBand="0" w:oddHBand="0" w:evenHBand="0" w:firstRowFirstColumn="0" w:firstRowLastColumn="0" w:lastRowFirstColumn="0" w:lastRowLastColumn="0"/>
          <w:trHeight w:val="1155"/>
        </w:trPr>
        <w:tc>
          <w:tcPr>
            <w:tcW w:w="5295" w:type="dxa"/>
          </w:tcPr>
          <w:p w14:paraId="38461B17" w14:textId="4B0C0128" w:rsidR="33A7DF1B" w:rsidRPr="00FF739C" w:rsidRDefault="00FF739C" w:rsidP="00FF739C">
            <w:pPr>
              <w:pStyle w:val="Heading2"/>
              <w:spacing w:line="259" w:lineRule="auto"/>
              <w:outlineLvl w:val="1"/>
              <w:rPr>
                <w:rFonts w:ascii="Century Gothic" w:eastAsia="Century Gothic" w:hAnsi="Century Gothic" w:cs="Century Gothic"/>
                <w:b w:val="0"/>
                <w:bCs w:val="0"/>
                <w:color w:val="000000" w:themeColor="text1"/>
                <w:sz w:val="28"/>
                <w:szCs w:val="28"/>
              </w:rPr>
            </w:pPr>
            <w:r>
              <w:rPr>
                <w:rFonts w:ascii="Century Gothic" w:eastAsia="Century Gothic" w:hAnsi="Century Gothic" w:cs="Century Gothic"/>
                <w:noProof/>
                <w:color w:val="000000" w:themeColor="text1"/>
                <w:sz w:val="28"/>
                <w:szCs w:val="28"/>
              </w:rPr>
              <w:drawing>
                <wp:inline distT="0" distB="0" distL="0" distR="0" wp14:anchorId="269529AF" wp14:editId="0336FB3C">
                  <wp:extent cx="1616256" cy="698500"/>
                  <wp:effectExtent l="0" t="0" r="3175"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6479" cy="702918"/>
                          </a:xfrm>
                          <a:prstGeom prst="rect">
                            <a:avLst/>
                          </a:prstGeom>
                        </pic:spPr>
                      </pic:pic>
                    </a:graphicData>
                  </a:graphic>
                </wp:inline>
              </w:drawing>
            </w:r>
          </w:p>
        </w:tc>
      </w:tr>
      <w:tr w:rsidR="33A7DF1B" w14:paraId="0E270FF4" w14:textId="77777777" w:rsidTr="33A7DF1B">
        <w:trPr>
          <w:trHeight w:val="1350"/>
        </w:trPr>
        <w:tc>
          <w:tcPr>
            <w:tcW w:w="5295" w:type="dxa"/>
          </w:tcPr>
          <w:p w14:paraId="599C00A7" w14:textId="6A345AF3" w:rsidR="33A7DF1B" w:rsidRPr="00690073" w:rsidRDefault="00FF739C" w:rsidP="33A7DF1B">
            <w:pPr>
              <w:spacing w:line="259" w:lineRule="auto"/>
              <w:rPr>
                <w:rFonts w:ascii="Times New Roman" w:eastAsia="Century Gothic" w:hAnsi="Times New Roman" w:cs="Times New Roman"/>
                <w:color w:val="000000" w:themeColor="text1"/>
                <w:sz w:val="24"/>
                <w:szCs w:val="24"/>
              </w:rPr>
            </w:pPr>
            <w:r w:rsidRPr="00690073">
              <w:rPr>
                <w:rFonts w:ascii="Times New Roman" w:eastAsia="Century Gothic" w:hAnsi="Times New Roman" w:cs="Times New Roman"/>
                <w:color w:val="000000" w:themeColor="text1"/>
                <w:sz w:val="24"/>
                <w:szCs w:val="24"/>
              </w:rPr>
              <w:t xml:space="preserve">6656 Germantown Avenue </w:t>
            </w:r>
          </w:p>
          <w:p w14:paraId="7F7BDE21" w14:textId="7B58190B" w:rsidR="33A7DF1B" w:rsidRPr="00690073" w:rsidRDefault="00FF739C" w:rsidP="33A7DF1B">
            <w:pPr>
              <w:spacing w:line="259" w:lineRule="auto"/>
              <w:rPr>
                <w:rFonts w:ascii="Times New Roman" w:eastAsia="Century Gothic" w:hAnsi="Times New Roman" w:cs="Times New Roman"/>
                <w:color w:val="000000" w:themeColor="text1"/>
                <w:sz w:val="24"/>
                <w:szCs w:val="24"/>
              </w:rPr>
            </w:pPr>
            <w:r w:rsidRPr="00690073">
              <w:rPr>
                <w:rFonts w:ascii="Times New Roman" w:eastAsia="Century Gothic" w:hAnsi="Times New Roman" w:cs="Times New Roman"/>
                <w:color w:val="000000" w:themeColor="text1"/>
                <w:sz w:val="24"/>
                <w:szCs w:val="24"/>
              </w:rPr>
              <w:t>Philadelphia, Pa 19119</w:t>
            </w:r>
          </w:p>
          <w:p w14:paraId="4091DAAA" w14:textId="3FFB0D58" w:rsidR="33A7DF1B" w:rsidRPr="00690073" w:rsidRDefault="00FF739C" w:rsidP="33A7DF1B">
            <w:pPr>
              <w:spacing w:line="259" w:lineRule="auto"/>
              <w:rPr>
                <w:rFonts w:ascii="Times New Roman" w:eastAsia="Century Gothic" w:hAnsi="Times New Roman" w:cs="Times New Roman"/>
                <w:color w:val="000000" w:themeColor="text1"/>
                <w:sz w:val="24"/>
                <w:szCs w:val="24"/>
              </w:rPr>
            </w:pPr>
            <w:r w:rsidRPr="00690073">
              <w:rPr>
                <w:rFonts w:ascii="Times New Roman" w:eastAsia="Century Gothic" w:hAnsi="Times New Roman" w:cs="Times New Roman"/>
                <w:color w:val="000000" w:themeColor="text1"/>
                <w:sz w:val="24"/>
                <w:szCs w:val="24"/>
              </w:rPr>
              <w:t>Phone: 215-842-5939</w:t>
            </w:r>
            <w:r w:rsidR="33A7DF1B" w:rsidRPr="00690073">
              <w:rPr>
                <w:rFonts w:ascii="Times New Roman" w:eastAsia="Century Gothic" w:hAnsi="Times New Roman" w:cs="Times New Roman"/>
                <w:color w:val="000000" w:themeColor="text1"/>
                <w:sz w:val="24"/>
                <w:szCs w:val="24"/>
              </w:rPr>
              <w:t xml:space="preserve"> | Fax</w:t>
            </w:r>
            <w:r w:rsidRPr="00690073">
              <w:rPr>
                <w:rFonts w:ascii="Times New Roman" w:eastAsia="Century Gothic" w:hAnsi="Times New Roman" w:cs="Times New Roman"/>
                <w:color w:val="000000" w:themeColor="text1"/>
                <w:sz w:val="24"/>
                <w:szCs w:val="24"/>
              </w:rPr>
              <w:t>:</w:t>
            </w:r>
            <w:r w:rsidR="33A7DF1B" w:rsidRPr="00690073">
              <w:rPr>
                <w:rFonts w:ascii="Times New Roman" w:eastAsia="Century Gothic" w:hAnsi="Times New Roman" w:cs="Times New Roman"/>
                <w:color w:val="000000" w:themeColor="text1"/>
                <w:sz w:val="24"/>
                <w:szCs w:val="24"/>
              </w:rPr>
              <w:t xml:space="preserve"> </w:t>
            </w:r>
            <w:r w:rsidRPr="00690073">
              <w:rPr>
                <w:rFonts w:ascii="Times New Roman" w:eastAsia="Century Gothic" w:hAnsi="Times New Roman" w:cs="Times New Roman"/>
                <w:color w:val="000000" w:themeColor="text1"/>
                <w:sz w:val="24"/>
                <w:szCs w:val="24"/>
              </w:rPr>
              <w:t>215-842-5937</w:t>
            </w:r>
          </w:p>
          <w:p w14:paraId="173A1747" w14:textId="69B87E3C" w:rsidR="33A7DF1B" w:rsidRDefault="00FF739C" w:rsidP="33A7DF1B">
            <w:pPr>
              <w:spacing w:line="259" w:lineRule="auto"/>
              <w:rPr>
                <w:rFonts w:ascii="Century Gothic" w:eastAsia="Century Gothic" w:hAnsi="Century Gothic" w:cs="Century Gothic"/>
                <w:color w:val="000000" w:themeColor="text1"/>
              </w:rPr>
            </w:pPr>
            <w:r w:rsidRPr="00690073">
              <w:rPr>
                <w:rFonts w:ascii="Times New Roman" w:eastAsia="Century Gothic" w:hAnsi="Times New Roman" w:cs="Times New Roman"/>
                <w:color w:val="000000" w:themeColor="text1"/>
                <w:sz w:val="24"/>
                <w:szCs w:val="24"/>
              </w:rPr>
              <w:t>Nec@nostalgiceyecare.com</w:t>
            </w:r>
            <w:r w:rsidR="33A7DF1B" w:rsidRPr="00690073">
              <w:rPr>
                <w:rFonts w:ascii="Times New Roman" w:eastAsia="Century Gothic" w:hAnsi="Times New Roman" w:cs="Times New Roman"/>
                <w:color w:val="000000" w:themeColor="text1"/>
                <w:sz w:val="24"/>
                <w:szCs w:val="24"/>
              </w:rPr>
              <w:t xml:space="preserve"> </w:t>
            </w:r>
            <w:r w:rsidRPr="00690073">
              <w:rPr>
                <w:rFonts w:ascii="Times New Roman" w:eastAsia="Century Gothic" w:hAnsi="Times New Roman" w:cs="Times New Roman"/>
                <w:color w:val="000000" w:themeColor="text1"/>
                <w:sz w:val="24"/>
                <w:szCs w:val="24"/>
              </w:rPr>
              <w:t>www.nostalgiceyecae.com</w:t>
            </w:r>
          </w:p>
        </w:tc>
      </w:tr>
    </w:tbl>
    <w:p w14:paraId="7098EE7D" w14:textId="77777777" w:rsidR="00690073" w:rsidRDefault="00690073" w:rsidP="33A7DF1B">
      <w:pPr>
        <w:rPr>
          <w:rFonts w:ascii="Times New Roman" w:eastAsia="Calibri" w:hAnsi="Times New Roman" w:cs="Times New Roman"/>
          <w:color w:val="0E101A"/>
          <w:sz w:val="24"/>
          <w:szCs w:val="24"/>
        </w:rPr>
      </w:pPr>
    </w:p>
    <w:p w14:paraId="19695A57" w14:textId="29A9C28A" w:rsidR="779C25D1" w:rsidRPr="00690073" w:rsidRDefault="779C25D1" w:rsidP="33A7DF1B">
      <w:pPr>
        <w:rPr>
          <w:rFonts w:ascii="Times New Roman" w:hAnsi="Times New Roman" w:cs="Times New Roman"/>
          <w:sz w:val="28"/>
          <w:szCs w:val="28"/>
        </w:rPr>
      </w:pPr>
      <w:r w:rsidRPr="00690073">
        <w:rPr>
          <w:rFonts w:ascii="Times New Roman" w:eastAsia="Calibri" w:hAnsi="Times New Roman" w:cs="Times New Roman"/>
          <w:color w:val="0E101A"/>
          <w:sz w:val="28"/>
          <w:szCs w:val="28"/>
        </w:rPr>
        <w:t>Most people have vision insurance and medical insurance. While they seem similar, they are very different regarding the services they cover, and patients must understand those differences.</w:t>
      </w:r>
    </w:p>
    <w:p w14:paraId="356BFA6E" w14:textId="575F3909" w:rsidR="00FF739C" w:rsidRPr="00690073" w:rsidRDefault="779C25D1" w:rsidP="00FF739C">
      <w:pPr>
        <w:pStyle w:val="ListParagraph"/>
        <w:numPr>
          <w:ilvl w:val="0"/>
          <w:numId w:val="1"/>
        </w:numPr>
        <w:rPr>
          <w:rFonts w:ascii="Times New Roman" w:eastAsiaTheme="minorEastAsia" w:hAnsi="Times New Roman" w:cs="Times New Roman"/>
          <w:color w:val="0E101A"/>
          <w:sz w:val="28"/>
          <w:szCs w:val="28"/>
        </w:rPr>
      </w:pPr>
      <w:r w:rsidRPr="00690073">
        <w:rPr>
          <w:rFonts w:ascii="Times New Roman" w:eastAsia="Calibri" w:hAnsi="Times New Roman" w:cs="Times New Roman"/>
          <w:color w:val="0E101A"/>
          <w:sz w:val="28"/>
          <w:szCs w:val="28"/>
        </w:rPr>
        <w:t xml:space="preserve">Vision coverage (VSP, </w:t>
      </w:r>
      <w:r w:rsidR="00FF739C" w:rsidRPr="00690073">
        <w:rPr>
          <w:rFonts w:ascii="Times New Roman" w:eastAsia="Calibri" w:hAnsi="Times New Roman" w:cs="Times New Roman"/>
          <w:color w:val="0E101A"/>
          <w:sz w:val="28"/>
          <w:szCs w:val="28"/>
        </w:rPr>
        <w:t>NVA</w:t>
      </w:r>
      <w:r w:rsidRPr="00690073">
        <w:rPr>
          <w:rFonts w:ascii="Times New Roman" w:eastAsia="Calibri" w:hAnsi="Times New Roman" w:cs="Times New Roman"/>
          <w:color w:val="0E101A"/>
          <w:sz w:val="28"/>
          <w:szCs w:val="28"/>
        </w:rPr>
        <w:t xml:space="preserve">, Eye Med, </w:t>
      </w:r>
      <w:r w:rsidR="00FF739C" w:rsidRPr="00690073">
        <w:rPr>
          <w:rFonts w:ascii="Times New Roman" w:eastAsia="Calibri" w:hAnsi="Times New Roman" w:cs="Times New Roman"/>
          <w:color w:val="0E101A"/>
          <w:sz w:val="28"/>
          <w:szCs w:val="28"/>
        </w:rPr>
        <w:t>Versant</w:t>
      </w:r>
      <w:r w:rsidRPr="00690073">
        <w:rPr>
          <w:rFonts w:ascii="Times New Roman" w:eastAsia="Calibri" w:hAnsi="Times New Roman" w:cs="Times New Roman"/>
          <w:color w:val="0E101A"/>
          <w:sz w:val="28"/>
          <w:szCs w:val="28"/>
        </w:rPr>
        <w:t>, etc.) is mainly designed to determine a prescription for glasses and does not cover complex medical conditions.</w:t>
      </w:r>
    </w:p>
    <w:p w14:paraId="7B1BF538" w14:textId="77777777" w:rsidR="00FF739C" w:rsidRPr="00690073" w:rsidRDefault="00FF739C" w:rsidP="00FF739C">
      <w:pPr>
        <w:pStyle w:val="ListParagraph"/>
        <w:rPr>
          <w:rFonts w:ascii="Times New Roman" w:eastAsiaTheme="minorEastAsia" w:hAnsi="Times New Roman" w:cs="Times New Roman"/>
          <w:color w:val="0E101A"/>
          <w:sz w:val="28"/>
          <w:szCs w:val="28"/>
        </w:rPr>
      </w:pPr>
    </w:p>
    <w:p w14:paraId="32898D28" w14:textId="0A56EE62" w:rsidR="33A7DF1B" w:rsidRPr="00690073" w:rsidRDefault="779C25D1" w:rsidP="33A7DF1B">
      <w:pPr>
        <w:pStyle w:val="ListParagraph"/>
        <w:numPr>
          <w:ilvl w:val="0"/>
          <w:numId w:val="1"/>
        </w:numPr>
        <w:rPr>
          <w:rFonts w:ascii="Times New Roman" w:eastAsiaTheme="minorEastAsia" w:hAnsi="Times New Roman" w:cs="Times New Roman"/>
          <w:color w:val="0E101A"/>
          <w:sz w:val="28"/>
          <w:szCs w:val="28"/>
        </w:rPr>
      </w:pPr>
      <w:r w:rsidRPr="00690073">
        <w:rPr>
          <w:rFonts w:ascii="Times New Roman" w:eastAsia="Calibri" w:hAnsi="Times New Roman" w:cs="Times New Roman"/>
          <w:color w:val="0E101A"/>
          <w:sz w:val="28"/>
          <w:szCs w:val="28"/>
        </w:rPr>
        <w:t>Medical coverage (</w:t>
      </w:r>
      <w:r w:rsidR="00FF739C" w:rsidRPr="00690073">
        <w:rPr>
          <w:rFonts w:ascii="Times New Roman" w:eastAsia="Calibri" w:hAnsi="Times New Roman" w:cs="Times New Roman"/>
          <w:color w:val="0E101A"/>
          <w:sz w:val="28"/>
          <w:szCs w:val="28"/>
        </w:rPr>
        <w:t>Independence BlueCross</w:t>
      </w:r>
      <w:r w:rsidRPr="00690073">
        <w:rPr>
          <w:rFonts w:ascii="Times New Roman" w:eastAsia="Calibri" w:hAnsi="Times New Roman" w:cs="Times New Roman"/>
          <w:color w:val="0E101A"/>
          <w:sz w:val="28"/>
          <w:szCs w:val="28"/>
        </w:rPr>
        <w:t xml:space="preserve">, Cigna, UHC, Aetna, etc.) is filed when a medical condition is present such as diabetes, cataracts, dry eyes, floaters, etc. In this case, co-pays and deductibles for your medical insurance will apply. </w:t>
      </w:r>
    </w:p>
    <w:p w14:paraId="4F203B1C" w14:textId="3640EA1E" w:rsidR="779C25D1" w:rsidRPr="00690073" w:rsidRDefault="779C25D1" w:rsidP="33A7DF1B">
      <w:pPr>
        <w:rPr>
          <w:rFonts w:ascii="Times New Roman" w:hAnsi="Times New Roman" w:cs="Times New Roman"/>
          <w:sz w:val="28"/>
          <w:szCs w:val="28"/>
        </w:rPr>
      </w:pPr>
      <w:r w:rsidRPr="00690073">
        <w:rPr>
          <w:rFonts w:ascii="Times New Roman" w:eastAsia="Calibri" w:hAnsi="Times New Roman" w:cs="Times New Roman"/>
          <w:color w:val="0E101A"/>
          <w:sz w:val="28"/>
          <w:szCs w:val="28"/>
        </w:rPr>
        <w:t>Insurance carriers set these rules, and our office is required to follow them. We do our best to make sure you are aware of any out-of-pocket expenses associated with your visit. Unfortunately, in many incidences, there is no way to know before the examination which type of insurance our office will file for you.</w:t>
      </w:r>
    </w:p>
    <w:p w14:paraId="19F19383" w14:textId="098FA5B2" w:rsidR="779C25D1" w:rsidRPr="00690073" w:rsidRDefault="779C25D1" w:rsidP="33A7DF1B">
      <w:pPr>
        <w:rPr>
          <w:rFonts w:ascii="Times New Roman" w:hAnsi="Times New Roman" w:cs="Times New Roman"/>
          <w:sz w:val="28"/>
          <w:szCs w:val="28"/>
        </w:rPr>
      </w:pPr>
      <w:r w:rsidRPr="00690073">
        <w:rPr>
          <w:rFonts w:ascii="Times New Roman" w:eastAsia="Calibri" w:hAnsi="Times New Roman" w:cs="Times New Roman"/>
          <w:color w:val="0E101A"/>
          <w:sz w:val="28"/>
          <w:szCs w:val="28"/>
        </w:rPr>
        <w:t xml:space="preserve">We make every effort to be on every major carrier for your convenience, and we will file those claims for you. If we do not take your insurance, we will provide you with an itemized receipt so that you may file your carrier for reimbursement. </w:t>
      </w:r>
    </w:p>
    <w:p w14:paraId="53700286" w14:textId="66D46059" w:rsidR="779C25D1" w:rsidRDefault="779C25D1" w:rsidP="33A7DF1B">
      <w:pPr>
        <w:rPr>
          <w:rFonts w:ascii="Times New Roman" w:eastAsia="Calibri" w:hAnsi="Times New Roman" w:cs="Times New Roman"/>
          <w:color w:val="0E101A"/>
          <w:sz w:val="28"/>
          <w:szCs w:val="28"/>
        </w:rPr>
      </w:pPr>
      <w:r w:rsidRPr="00690073">
        <w:rPr>
          <w:rFonts w:ascii="Times New Roman" w:eastAsia="Calibri" w:hAnsi="Times New Roman" w:cs="Times New Roman"/>
          <w:color w:val="0E101A"/>
          <w:sz w:val="28"/>
          <w:szCs w:val="28"/>
        </w:rPr>
        <w:t xml:space="preserve">If you have any questions, please let us know. </w:t>
      </w:r>
    </w:p>
    <w:p w14:paraId="7C81297E" w14:textId="77777777" w:rsidR="0005321C" w:rsidRPr="00690073" w:rsidRDefault="0005321C" w:rsidP="33A7DF1B">
      <w:pPr>
        <w:rPr>
          <w:rFonts w:ascii="Times New Roman" w:hAnsi="Times New Roman" w:cs="Times New Roman"/>
          <w:sz w:val="28"/>
          <w:szCs w:val="28"/>
        </w:rPr>
      </w:pPr>
    </w:p>
    <w:p w14:paraId="649167F3" w14:textId="419782FF" w:rsidR="779C25D1" w:rsidRPr="00690073" w:rsidRDefault="779C25D1" w:rsidP="33A7DF1B">
      <w:pPr>
        <w:rPr>
          <w:rFonts w:ascii="Times New Roman" w:hAnsi="Times New Roman" w:cs="Times New Roman"/>
          <w:sz w:val="28"/>
          <w:szCs w:val="28"/>
        </w:rPr>
      </w:pPr>
      <w:r w:rsidRPr="00690073">
        <w:rPr>
          <w:rFonts w:ascii="Times New Roman" w:eastAsia="Calibri" w:hAnsi="Times New Roman" w:cs="Times New Roman"/>
          <w:color w:val="0E101A"/>
          <w:sz w:val="28"/>
          <w:szCs w:val="28"/>
        </w:rPr>
        <w:t xml:space="preserve">I understand the paragraph above, and I ___________________________ </w:t>
      </w:r>
      <w:r w:rsidR="0005321C">
        <w:rPr>
          <w:rFonts w:ascii="Times New Roman" w:eastAsia="Calibri" w:hAnsi="Times New Roman" w:cs="Times New Roman"/>
          <w:color w:val="0E101A"/>
          <w:sz w:val="28"/>
          <w:szCs w:val="28"/>
        </w:rPr>
        <w:t xml:space="preserve">authorize </w:t>
      </w:r>
      <w:r w:rsidR="00690073">
        <w:rPr>
          <w:rFonts w:ascii="Times New Roman" w:eastAsia="Calibri" w:hAnsi="Times New Roman" w:cs="Times New Roman"/>
          <w:color w:val="0E101A"/>
          <w:sz w:val="28"/>
          <w:szCs w:val="28"/>
        </w:rPr>
        <w:t>Nostalgic Eye Care</w:t>
      </w:r>
      <w:r w:rsidRPr="00690073">
        <w:rPr>
          <w:rFonts w:ascii="Times New Roman" w:eastAsia="Calibri" w:hAnsi="Times New Roman" w:cs="Times New Roman"/>
          <w:color w:val="0E101A"/>
          <w:sz w:val="28"/>
          <w:szCs w:val="28"/>
        </w:rPr>
        <w:t xml:space="preserve"> to file my insurance by the above guidelines. I am aware that I am responsible for any co-payments or deductibles set in accordance with my insurance provider. I am also responsible for any treatment or testing that my insurance provider does not cover. </w:t>
      </w:r>
    </w:p>
    <w:p w14:paraId="18F1228C" w14:textId="41B84730" w:rsidR="779C25D1" w:rsidRPr="00690073" w:rsidRDefault="779C25D1" w:rsidP="33A7DF1B">
      <w:pPr>
        <w:rPr>
          <w:rFonts w:ascii="Times New Roman" w:hAnsi="Times New Roman" w:cs="Times New Roman"/>
          <w:sz w:val="28"/>
          <w:szCs w:val="28"/>
        </w:rPr>
      </w:pPr>
      <w:r w:rsidRPr="00690073">
        <w:rPr>
          <w:rFonts w:ascii="Times New Roman" w:eastAsia="Calibri" w:hAnsi="Times New Roman" w:cs="Times New Roman"/>
          <w:color w:val="0E101A"/>
          <w:sz w:val="28"/>
          <w:szCs w:val="28"/>
        </w:rPr>
        <w:t xml:space="preserve"> </w:t>
      </w:r>
    </w:p>
    <w:p w14:paraId="4692B862" w14:textId="37F2C5C2" w:rsidR="779C25D1" w:rsidRPr="00690073" w:rsidRDefault="779C25D1" w:rsidP="33A7DF1B">
      <w:pPr>
        <w:rPr>
          <w:rFonts w:ascii="Times New Roman" w:hAnsi="Times New Roman" w:cs="Times New Roman"/>
          <w:sz w:val="28"/>
          <w:szCs w:val="28"/>
        </w:rPr>
      </w:pPr>
      <w:r w:rsidRPr="00690073">
        <w:rPr>
          <w:rFonts w:ascii="Times New Roman" w:eastAsia="Calibri" w:hAnsi="Times New Roman" w:cs="Times New Roman"/>
          <w:color w:val="0E101A"/>
          <w:sz w:val="28"/>
          <w:szCs w:val="28"/>
        </w:rPr>
        <w:t>Signature: _____________________________________ Date:</w:t>
      </w:r>
      <w:r w:rsidR="00690073">
        <w:rPr>
          <w:rFonts w:ascii="Times New Roman" w:eastAsia="Calibri" w:hAnsi="Times New Roman" w:cs="Times New Roman"/>
          <w:color w:val="0E101A"/>
          <w:sz w:val="28"/>
          <w:szCs w:val="28"/>
        </w:rPr>
        <w:t xml:space="preserve"> </w:t>
      </w:r>
      <w:r w:rsidRPr="00690073">
        <w:rPr>
          <w:rFonts w:ascii="Times New Roman" w:eastAsia="Calibri" w:hAnsi="Times New Roman" w:cs="Times New Roman"/>
          <w:color w:val="0E101A"/>
          <w:sz w:val="28"/>
          <w:szCs w:val="28"/>
        </w:rPr>
        <w:t>_____________________</w:t>
      </w:r>
    </w:p>
    <w:p w14:paraId="4E266ECB" w14:textId="5C60745A" w:rsidR="33A7DF1B" w:rsidRPr="00FF739C" w:rsidRDefault="33A7DF1B" w:rsidP="33A7DF1B">
      <w:pPr>
        <w:spacing w:after="0"/>
        <w:rPr>
          <w:rFonts w:ascii="Times New Roman" w:hAnsi="Times New Roman" w:cs="Times New Roman"/>
          <w:b/>
          <w:bCs/>
          <w:sz w:val="24"/>
          <w:szCs w:val="24"/>
        </w:rPr>
      </w:pPr>
    </w:p>
    <w:sectPr w:rsidR="33A7DF1B" w:rsidRPr="00FF73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1C6A"/>
    <w:multiLevelType w:val="hybridMultilevel"/>
    <w:tmpl w:val="8DE4D93C"/>
    <w:lvl w:ilvl="0" w:tplc="4E04644E">
      <w:start w:val="1"/>
      <w:numFmt w:val="bullet"/>
      <w:lvlText w:val=""/>
      <w:lvlJc w:val="left"/>
      <w:pPr>
        <w:ind w:left="720" w:hanging="360"/>
      </w:pPr>
      <w:rPr>
        <w:rFonts w:ascii="Symbol" w:hAnsi="Symbol" w:hint="default"/>
      </w:rPr>
    </w:lvl>
    <w:lvl w:ilvl="1" w:tplc="5CAC9A52">
      <w:start w:val="1"/>
      <w:numFmt w:val="bullet"/>
      <w:lvlText w:val="o"/>
      <w:lvlJc w:val="left"/>
      <w:pPr>
        <w:ind w:left="1440" w:hanging="360"/>
      </w:pPr>
      <w:rPr>
        <w:rFonts w:ascii="Courier New" w:hAnsi="Courier New" w:hint="default"/>
      </w:rPr>
    </w:lvl>
    <w:lvl w:ilvl="2" w:tplc="AFD63D48">
      <w:start w:val="1"/>
      <w:numFmt w:val="bullet"/>
      <w:lvlText w:val=""/>
      <w:lvlJc w:val="left"/>
      <w:pPr>
        <w:ind w:left="2160" w:hanging="360"/>
      </w:pPr>
      <w:rPr>
        <w:rFonts w:ascii="Wingdings" w:hAnsi="Wingdings" w:hint="default"/>
      </w:rPr>
    </w:lvl>
    <w:lvl w:ilvl="3" w:tplc="449C9426">
      <w:start w:val="1"/>
      <w:numFmt w:val="bullet"/>
      <w:lvlText w:val=""/>
      <w:lvlJc w:val="left"/>
      <w:pPr>
        <w:ind w:left="2880" w:hanging="360"/>
      </w:pPr>
      <w:rPr>
        <w:rFonts w:ascii="Symbol" w:hAnsi="Symbol" w:hint="default"/>
      </w:rPr>
    </w:lvl>
    <w:lvl w:ilvl="4" w:tplc="15969982">
      <w:start w:val="1"/>
      <w:numFmt w:val="bullet"/>
      <w:lvlText w:val="o"/>
      <w:lvlJc w:val="left"/>
      <w:pPr>
        <w:ind w:left="3600" w:hanging="360"/>
      </w:pPr>
      <w:rPr>
        <w:rFonts w:ascii="Courier New" w:hAnsi="Courier New" w:hint="default"/>
      </w:rPr>
    </w:lvl>
    <w:lvl w:ilvl="5" w:tplc="AC76D636">
      <w:start w:val="1"/>
      <w:numFmt w:val="bullet"/>
      <w:lvlText w:val=""/>
      <w:lvlJc w:val="left"/>
      <w:pPr>
        <w:ind w:left="4320" w:hanging="360"/>
      </w:pPr>
      <w:rPr>
        <w:rFonts w:ascii="Wingdings" w:hAnsi="Wingdings" w:hint="default"/>
      </w:rPr>
    </w:lvl>
    <w:lvl w:ilvl="6" w:tplc="8B5609E8">
      <w:start w:val="1"/>
      <w:numFmt w:val="bullet"/>
      <w:lvlText w:val=""/>
      <w:lvlJc w:val="left"/>
      <w:pPr>
        <w:ind w:left="5040" w:hanging="360"/>
      </w:pPr>
      <w:rPr>
        <w:rFonts w:ascii="Symbol" w:hAnsi="Symbol" w:hint="default"/>
      </w:rPr>
    </w:lvl>
    <w:lvl w:ilvl="7" w:tplc="5660FF74">
      <w:start w:val="1"/>
      <w:numFmt w:val="bullet"/>
      <w:lvlText w:val="o"/>
      <w:lvlJc w:val="left"/>
      <w:pPr>
        <w:ind w:left="5760" w:hanging="360"/>
      </w:pPr>
      <w:rPr>
        <w:rFonts w:ascii="Courier New" w:hAnsi="Courier New" w:hint="default"/>
      </w:rPr>
    </w:lvl>
    <w:lvl w:ilvl="8" w:tplc="99109A0E">
      <w:start w:val="1"/>
      <w:numFmt w:val="bullet"/>
      <w:lvlText w:val=""/>
      <w:lvlJc w:val="left"/>
      <w:pPr>
        <w:ind w:left="6480" w:hanging="360"/>
      </w:pPr>
      <w:rPr>
        <w:rFonts w:ascii="Wingdings" w:hAnsi="Wingdings" w:hint="default"/>
      </w:rPr>
    </w:lvl>
  </w:abstractNum>
  <w:abstractNum w:abstractNumId="1" w15:restartNumberingAfterBreak="0">
    <w:nsid w:val="39540F09"/>
    <w:multiLevelType w:val="hybridMultilevel"/>
    <w:tmpl w:val="EE7474B4"/>
    <w:lvl w:ilvl="0" w:tplc="C130E1E2">
      <w:start w:val="1"/>
      <w:numFmt w:val="decimal"/>
      <w:lvlText w:val="%1."/>
      <w:lvlJc w:val="left"/>
      <w:pPr>
        <w:ind w:left="720" w:hanging="360"/>
      </w:pPr>
    </w:lvl>
    <w:lvl w:ilvl="1" w:tplc="5C441930">
      <w:start w:val="1"/>
      <w:numFmt w:val="lowerLetter"/>
      <w:lvlText w:val="%2."/>
      <w:lvlJc w:val="left"/>
      <w:pPr>
        <w:ind w:left="1440" w:hanging="360"/>
      </w:pPr>
    </w:lvl>
    <w:lvl w:ilvl="2" w:tplc="CE181AB0">
      <w:start w:val="1"/>
      <w:numFmt w:val="lowerRoman"/>
      <w:lvlText w:val="%3."/>
      <w:lvlJc w:val="right"/>
      <w:pPr>
        <w:ind w:left="2160" w:hanging="180"/>
      </w:pPr>
    </w:lvl>
    <w:lvl w:ilvl="3" w:tplc="152ECD22">
      <w:start w:val="1"/>
      <w:numFmt w:val="decimal"/>
      <w:lvlText w:val="%4."/>
      <w:lvlJc w:val="left"/>
      <w:pPr>
        <w:ind w:left="2880" w:hanging="360"/>
      </w:pPr>
    </w:lvl>
    <w:lvl w:ilvl="4" w:tplc="4BB6FCE2">
      <w:start w:val="1"/>
      <w:numFmt w:val="lowerLetter"/>
      <w:lvlText w:val="%5."/>
      <w:lvlJc w:val="left"/>
      <w:pPr>
        <w:ind w:left="3600" w:hanging="360"/>
      </w:pPr>
    </w:lvl>
    <w:lvl w:ilvl="5" w:tplc="F7587A34">
      <w:start w:val="1"/>
      <w:numFmt w:val="lowerRoman"/>
      <w:lvlText w:val="%6."/>
      <w:lvlJc w:val="right"/>
      <w:pPr>
        <w:ind w:left="4320" w:hanging="180"/>
      </w:pPr>
    </w:lvl>
    <w:lvl w:ilvl="6" w:tplc="9E4A02AC">
      <w:start w:val="1"/>
      <w:numFmt w:val="decimal"/>
      <w:lvlText w:val="%7."/>
      <w:lvlJc w:val="left"/>
      <w:pPr>
        <w:ind w:left="5040" w:hanging="360"/>
      </w:pPr>
    </w:lvl>
    <w:lvl w:ilvl="7" w:tplc="C430FDB2">
      <w:start w:val="1"/>
      <w:numFmt w:val="lowerLetter"/>
      <w:lvlText w:val="%8."/>
      <w:lvlJc w:val="left"/>
      <w:pPr>
        <w:ind w:left="5760" w:hanging="360"/>
      </w:pPr>
    </w:lvl>
    <w:lvl w:ilvl="8" w:tplc="4DF0824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E65A1C"/>
    <w:rsid w:val="0005321C"/>
    <w:rsid w:val="002828D3"/>
    <w:rsid w:val="004A4939"/>
    <w:rsid w:val="00690073"/>
    <w:rsid w:val="00FF739C"/>
    <w:rsid w:val="06C777B3"/>
    <w:rsid w:val="0DE65A1C"/>
    <w:rsid w:val="212035DC"/>
    <w:rsid w:val="2D71B684"/>
    <w:rsid w:val="33A7DF1B"/>
    <w:rsid w:val="362CC35D"/>
    <w:rsid w:val="3C9C04E1"/>
    <w:rsid w:val="3E7B9D41"/>
    <w:rsid w:val="4BF0F2E0"/>
    <w:rsid w:val="4E6095A4"/>
    <w:rsid w:val="51E2951E"/>
    <w:rsid w:val="52603464"/>
    <w:rsid w:val="5E5D9111"/>
    <w:rsid w:val="5EFE496C"/>
    <w:rsid w:val="68815443"/>
    <w:rsid w:val="6B34BF06"/>
    <w:rsid w:val="779C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65A1C"/>
  <w15:chartTrackingRefBased/>
  <w15:docId w15:val="{E3F2A852-9638-444D-A8C5-F1F8743A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Groves</dc:creator>
  <cp:keywords/>
  <dc:description/>
  <cp:lastModifiedBy>Kennard Herring</cp:lastModifiedBy>
  <cp:revision>2</cp:revision>
  <cp:lastPrinted>2021-10-05T16:17:00Z</cp:lastPrinted>
  <dcterms:created xsi:type="dcterms:W3CDTF">2021-10-05T17:31:00Z</dcterms:created>
  <dcterms:modified xsi:type="dcterms:W3CDTF">2021-10-05T17:31:00Z</dcterms:modified>
</cp:coreProperties>
</file>